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1758" w14:textId="77777777" w:rsidR="008A1BBC" w:rsidRPr="008B73CE" w:rsidRDefault="008A1BBC" w:rsidP="008A1BB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AD430F5" w14:textId="77777777" w:rsidR="008A1BBC" w:rsidRPr="004442BC" w:rsidRDefault="008A1BBC" w:rsidP="004A0336">
      <w:pPr>
        <w:jc w:val="right"/>
        <w:rPr>
          <w:rFonts w:ascii="Garamond" w:hAnsi="Garamond" w:cs="Arial"/>
          <w:sz w:val="18"/>
          <w:lang w:val="fr-FR"/>
        </w:rPr>
      </w:pPr>
      <w:r>
        <w:rPr>
          <w:rFonts w:ascii="Garamond" w:hAnsi="Garamond" w:cs="Arial"/>
          <w:b/>
          <w:sz w:val="18"/>
        </w:rPr>
        <w:tab/>
      </w:r>
      <w:r>
        <w:rPr>
          <w:rFonts w:ascii="Garamond" w:hAnsi="Garamond" w:cs="Arial"/>
          <w:b/>
          <w:sz w:val="18"/>
        </w:rPr>
        <w:tab/>
      </w:r>
      <w:r>
        <w:rPr>
          <w:rFonts w:ascii="Garamond" w:hAnsi="Garamond" w:cs="Arial"/>
          <w:b/>
          <w:sz w:val="18"/>
        </w:rPr>
        <w:tab/>
      </w:r>
      <w:r>
        <w:rPr>
          <w:rFonts w:ascii="Garamond" w:hAnsi="Garamond" w:cs="Arial"/>
          <w:b/>
          <w:sz w:val="18"/>
        </w:rPr>
        <w:tab/>
      </w:r>
    </w:p>
    <w:p w14:paraId="4967045D" w14:textId="77777777" w:rsidR="006E1391" w:rsidRDefault="004A0336" w:rsidP="008A1BBC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13A58" wp14:editId="7F77EE3F">
            <wp:simplePos x="0" y="0"/>
            <wp:positionH relativeFrom="column">
              <wp:posOffset>-2540</wp:posOffset>
            </wp:positionH>
            <wp:positionV relativeFrom="paragraph">
              <wp:posOffset>28575</wp:posOffset>
            </wp:positionV>
            <wp:extent cx="857885" cy="617855"/>
            <wp:effectExtent l="0" t="0" r="0" b="0"/>
            <wp:wrapThrough wrapText="bothSides">
              <wp:wrapPolygon edited="0">
                <wp:start x="9113" y="0"/>
                <wp:lineTo x="1439" y="10656"/>
                <wp:lineTo x="0" y="13320"/>
                <wp:lineTo x="0" y="17316"/>
                <wp:lineTo x="2878" y="20645"/>
                <wp:lineTo x="18226" y="20645"/>
                <wp:lineTo x="21104" y="17982"/>
                <wp:lineTo x="21104" y="13986"/>
                <wp:lineTo x="19665" y="10656"/>
                <wp:lineTo x="11991" y="0"/>
                <wp:lineTo x="9113" y="0"/>
              </wp:wrapPolygon>
            </wp:wrapThrough>
            <wp:docPr id="5" name="Picture 5" descr="Macintosh HD:Users:wgislason:Desktop:CB_Logo_CMYK_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gislason:Desktop:CB_Logo_CMYK_Tex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718"/>
      </w:tblGrid>
      <w:tr w:rsidR="004A0336" w14:paraId="3098E4AD" w14:textId="77777777" w:rsidTr="004A0336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01F4A11" w14:textId="77777777" w:rsidR="004A0336" w:rsidRPr="003407A9" w:rsidRDefault="004A0336" w:rsidP="004A0336">
            <w:pPr>
              <w:tabs>
                <w:tab w:val="center" w:pos="1251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Conagra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Brands</w:t>
            </w:r>
          </w:p>
          <w:p w14:paraId="1B691F55" w14:textId="77777777" w:rsidR="004A0336" w:rsidRDefault="004A0336" w:rsidP="004A0336">
            <w:pPr>
              <w:tabs>
                <w:tab w:val="center" w:pos="1251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222 W. Merchandise Mart Plaza</w:t>
            </w:r>
          </w:p>
          <w:p w14:paraId="2AE3B95A" w14:textId="77777777" w:rsidR="004A0336" w:rsidRPr="003407A9" w:rsidRDefault="004A0336" w:rsidP="004A0336">
            <w:pPr>
              <w:tabs>
                <w:tab w:val="center" w:pos="1251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Suite 1300</w:t>
            </w:r>
          </w:p>
          <w:p w14:paraId="7D4A7162" w14:textId="77777777" w:rsidR="004A0336" w:rsidRPr="003407A9" w:rsidRDefault="004A0336" w:rsidP="004A0336">
            <w:pPr>
              <w:tabs>
                <w:tab w:val="center" w:pos="1251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Chicago, IL 60654</w:t>
            </w:r>
          </w:p>
          <w:p w14:paraId="2BECA594" w14:textId="77777777" w:rsidR="004A0336" w:rsidRPr="0041599D" w:rsidRDefault="004A0336" w:rsidP="004A0336">
            <w:pPr>
              <w:tabs>
                <w:tab w:val="center" w:pos="1251"/>
              </w:tabs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</w:tbl>
    <w:p w14:paraId="74898661" w14:textId="77777777" w:rsidR="006E1391" w:rsidRDefault="006E1391" w:rsidP="008A1BBC">
      <w:pPr>
        <w:rPr>
          <w:rFonts w:ascii="Arial" w:hAnsi="Arial" w:cs="Arial"/>
          <w:sz w:val="20"/>
        </w:rPr>
      </w:pPr>
    </w:p>
    <w:p w14:paraId="5AF526A8" w14:textId="77777777" w:rsidR="004A0336" w:rsidRDefault="004A0336" w:rsidP="004A0336">
      <w:pPr>
        <w:rPr>
          <w:rFonts w:ascii="Arial" w:hAnsi="Arial" w:cs="Arial"/>
        </w:rPr>
      </w:pPr>
    </w:p>
    <w:p w14:paraId="09D8D8C5" w14:textId="77777777" w:rsidR="004A0336" w:rsidRDefault="004A0336" w:rsidP="008A1BBC">
      <w:pPr>
        <w:rPr>
          <w:rFonts w:ascii="Arial" w:hAnsi="Arial" w:cs="Arial"/>
        </w:rPr>
      </w:pPr>
    </w:p>
    <w:p w14:paraId="5F00B9F5" w14:textId="77777777" w:rsidR="004A0336" w:rsidRDefault="004A0336" w:rsidP="008A1BBC">
      <w:pPr>
        <w:rPr>
          <w:rFonts w:ascii="Arial" w:hAnsi="Arial" w:cs="Arial"/>
        </w:rPr>
      </w:pPr>
    </w:p>
    <w:p w14:paraId="39EAD547" w14:textId="77777777" w:rsidR="0092524E" w:rsidRDefault="0092524E" w:rsidP="008A1BBC">
      <w:pPr>
        <w:rPr>
          <w:rFonts w:ascii="Arial" w:hAnsi="Arial" w:cs="Arial"/>
        </w:rPr>
      </w:pPr>
    </w:p>
    <w:p w14:paraId="0104E681" w14:textId="77777777" w:rsidR="008A1BBC" w:rsidRPr="0079590B" w:rsidRDefault="00166268" w:rsidP="008A1BBC">
      <w:pPr>
        <w:rPr>
          <w:rFonts w:ascii="Arial" w:hAnsi="Arial" w:cs="Arial"/>
        </w:rPr>
      </w:pPr>
      <w:r>
        <w:rPr>
          <w:rFonts w:ascii="Arial" w:hAnsi="Arial" w:cs="Arial"/>
        </w:rPr>
        <w:t>April 20</w:t>
      </w:r>
      <w:r w:rsidR="001F4D87">
        <w:rPr>
          <w:rFonts w:ascii="Arial" w:hAnsi="Arial" w:cs="Arial"/>
        </w:rPr>
        <w:t>, 2017</w:t>
      </w:r>
    </w:p>
    <w:p w14:paraId="340B90F2" w14:textId="77777777" w:rsidR="008A1BBC" w:rsidRPr="0092524E" w:rsidRDefault="008A1BBC" w:rsidP="008A1BBC">
      <w:pPr>
        <w:rPr>
          <w:rFonts w:ascii="Arial" w:hAnsi="Arial" w:cs="Arial"/>
          <w:sz w:val="12"/>
        </w:rPr>
      </w:pPr>
    </w:p>
    <w:p w14:paraId="3AC46297" w14:textId="190710E4" w:rsidR="008A1BBC" w:rsidRDefault="008A1BBC" w:rsidP="008A1BBC">
      <w:pPr>
        <w:rPr>
          <w:rFonts w:ascii="Arial" w:hAnsi="Arial" w:cs="Arial"/>
          <w:b/>
        </w:rPr>
      </w:pPr>
      <w:r w:rsidRPr="0079590B">
        <w:rPr>
          <w:rFonts w:ascii="Arial" w:hAnsi="Arial" w:cs="Arial"/>
        </w:rPr>
        <w:t xml:space="preserve">Dear </w:t>
      </w:r>
      <w:r w:rsidR="00110ED8" w:rsidRPr="001F550C">
        <w:rPr>
          <w:rFonts w:ascii="Arial" w:hAnsi="Arial" w:cs="Arial"/>
          <w:b/>
        </w:rPr>
        <w:t>URM Stores:</w:t>
      </w:r>
    </w:p>
    <w:p w14:paraId="1B07158F" w14:textId="77777777" w:rsidR="00CD54F5" w:rsidRPr="0092524E" w:rsidRDefault="00CD54F5" w:rsidP="008A1BBC">
      <w:pPr>
        <w:rPr>
          <w:rFonts w:ascii="Arial" w:hAnsi="Arial" w:cs="Arial"/>
          <w:b/>
          <w:sz w:val="12"/>
        </w:rPr>
      </w:pPr>
    </w:p>
    <w:p w14:paraId="79D2D0E2" w14:textId="77777777" w:rsidR="00CD54F5" w:rsidRPr="008666EE" w:rsidRDefault="00CD54F5">
      <w:pPr>
        <w:rPr>
          <w:rFonts w:ascii="Arial" w:hAnsi="Arial" w:cs="Arial"/>
          <w:i/>
          <w:sz w:val="20"/>
          <w:szCs w:val="20"/>
        </w:rPr>
      </w:pPr>
      <w:r w:rsidRPr="00CD54F5">
        <w:rPr>
          <w:rFonts w:ascii="Arial" w:hAnsi="Arial" w:cs="Arial"/>
          <w:sz w:val="20"/>
          <w:szCs w:val="20"/>
        </w:rPr>
        <w:t xml:space="preserve">Please be advised that </w:t>
      </w:r>
      <w:proofErr w:type="spellStart"/>
      <w:r w:rsidRPr="00CD54F5">
        <w:rPr>
          <w:rFonts w:ascii="Arial" w:hAnsi="Arial" w:cs="Arial"/>
          <w:sz w:val="20"/>
          <w:szCs w:val="20"/>
        </w:rPr>
        <w:t>Con</w:t>
      </w:r>
      <w:r w:rsidR="00336B2B">
        <w:rPr>
          <w:rFonts w:ascii="Arial" w:hAnsi="Arial" w:cs="Arial"/>
          <w:sz w:val="20"/>
          <w:szCs w:val="20"/>
        </w:rPr>
        <w:t>a</w:t>
      </w:r>
      <w:r w:rsidRPr="00CD54F5">
        <w:rPr>
          <w:rFonts w:ascii="Arial" w:hAnsi="Arial" w:cs="Arial"/>
          <w:sz w:val="20"/>
          <w:szCs w:val="20"/>
        </w:rPr>
        <w:t>gra</w:t>
      </w:r>
      <w:proofErr w:type="spellEnd"/>
      <w:r w:rsidRPr="00CD54F5">
        <w:rPr>
          <w:rFonts w:ascii="Arial" w:hAnsi="Arial" w:cs="Arial"/>
          <w:sz w:val="20"/>
          <w:szCs w:val="20"/>
        </w:rPr>
        <w:t xml:space="preserve"> </w:t>
      </w:r>
      <w:r w:rsidR="00336B2B">
        <w:rPr>
          <w:rFonts w:ascii="Arial" w:hAnsi="Arial" w:cs="Arial"/>
          <w:sz w:val="20"/>
          <w:szCs w:val="20"/>
        </w:rPr>
        <w:t>Brands</w:t>
      </w:r>
      <w:r>
        <w:rPr>
          <w:rFonts w:ascii="Arial" w:hAnsi="Arial" w:cs="Arial"/>
          <w:sz w:val="20"/>
          <w:szCs w:val="20"/>
        </w:rPr>
        <w:t xml:space="preserve"> is </w:t>
      </w:r>
      <w:r w:rsidR="008D4195">
        <w:rPr>
          <w:rFonts w:ascii="Arial" w:hAnsi="Arial" w:cs="Arial"/>
          <w:sz w:val="20"/>
          <w:szCs w:val="20"/>
        </w:rPr>
        <w:t>issuing a voluntary market withdrawal of</w:t>
      </w:r>
      <w:r>
        <w:rPr>
          <w:rFonts w:ascii="Arial" w:hAnsi="Arial" w:cs="Arial"/>
          <w:sz w:val="20"/>
          <w:szCs w:val="20"/>
        </w:rPr>
        <w:t xml:space="preserve"> </w:t>
      </w:r>
      <w:r w:rsidR="00FA2070">
        <w:rPr>
          <w:rFonts w:ascii="Arial" w:hAnsi="Arial" w:cs="Arial"/>
          <w:sz w:val="20"/>
          <w:szCs w:val="20"/>
        </w:rPr>
        <w:t>19,771 cases</w:t>
      </w:r>
      <w:r>
        <w:rPr>
          <w:rFonts w:ascii="Arial" w:hAnsi="Arial" w:cs="Arial"/>
          <w:sz w:val="20"/>
          <w:szCs w:val="20"/>
        </w:rPr>
        <w:t xml:space="preserve"> of </w:t>
      </w:r>
      <w:r w:rsidR="00FA2070">
        <w:rPr>
          <w:rFonts w:ascii="Arial" w:hAnsi="Arial" w:cs="Arial"/>
          <w:sz w:val="20"/>
          <w:szCs w:val="20"/>
        </w:rPr>
        <w:t xml:space="preserve">Banquet Chicken Nuggets with Mac &amp; Cheese 7.4oz single serve meal </w:t>
      </w:r>
      <w:r w:rsidR="00FF7910">
        <w:rPr>
          <w:rFonts w:ascii="Arial" w:hAnsi="Arial" w:cs="Arial"/>
          <w:sz w:val="20"/>
          <w:szCs w:val="20"/>
        </w:rPr>
        <w:t xml:space="preserve">due to </w:t>
      </w:r>
      <w:r w:rsidR="00D80639">
        <w:rPr>
          <w:rFonts w:ascii="Arial" w:hAnsi="Arial" w:cs="Arial"/>
          <w:sz w:val="20"/>
          <w:szCs w:val="20"/>
        </w:rPr>
        <w:t xml:space="preserve">the </w:t>
      </w:r>
      <w:r w:rsidR="00FF7910">
        <w:rPr>
          <w:rFonts w:ascii="Arial" w:hAnsi="Arial" w:cs="Arial"/>
          <w:sz w:val="20"/>
          <w:szCs w:val="20"/>
        </w:rPr>
        <w:t xml:space="preserve">potential presence of </w:t>
      </w:r>
      <w:r w:rsidR="00FF7910" w:rsidRPr="004436D8">
        <w:rPr>
          <w:rFonts w:ascii="Arial" w:hAnsi="Arial" w:cs="Arial"/>
          <w:i/>
          <w:sz w:val="20"/>
          <w:szCs w:val="20"/>
        </w:rPr>
        <w:t>S</w:t>
      </w:r>
      <w:r w:rsidRPr="004436D8">
        <w:rPr>
          <w:rFonts w:ascii="Arial" w:hAnsi="Arial" w:cs="Arial"/>
          <w:i/>
          <w:sz w:val="20"/>
          <w:szCs w:val="20"/>
        </w:rPr>
        <w:t>almonella</w:t>
      </w:r>
      <w:r w:rsidR="006D7626">
        <w:rPr>
          <w:rFonts w:ascii="Arial" w:hAnsi="Arial" w:cs="Arial"/>
          <w:sz w:val="20"/>
          <w:szCs w:val="20"/>
        </w:rPr>
        <w:t xml:space="preserve"> in </w:t>
      </w:r>
      <w:r w:rsidR="00D65C4D">
        <w:rPr>
          <w:rFonts w:ascii="Arial" w:hAnsi="Arial" w:cs="Arial"/>
          <w:sz w:val="20"/>
          <w:szCs w:val="20"/>
        </w:rPr>
        <w:t xml:space="preserve">the </w:t>
      </w:r>
      <w:r w:rsidR="00FA2070">
        <w:rPr>
          <w:rFonts w:ascii="Arial" w:hAnsi="Arial" w:cs="Arial"/>
          <w:sz w:val="20"/>
          <w:szCs w:val="20"/>
        </w:rPr>
        <w:t>brownie mix</w:t>
      </w:r>
      <w:r w:rsidR="00D65C4D">
        <w:rPr>
          <w:rFonts w:ascii="Arial" w:hAnsi="Arial" w:cs="Arial"/>
          <w:sz w:val="20"/>
          <w:szCs w:val="20"/>
        </w:rPr>
        <w:t xml:space="preserve"> </w:t>
      </w:r>
      <w:r w:rsidR="00D80639">
        <w:rPr>
          <w:rFonts w:ascii="Arial" w:hAnsi="Arial" w:cs="Arial"/>
          <w:sz w:val="20"/>
          <w:szCs w:val="20"/>
        </w:rPr>
        <w:t>us</w:t>
      </w:r>
      <w:r w:rsidR="00FA2070">
        <w:rPr>
          <w:rFonts w:ascii="Arial" w:hAnsi="Arial" w:cs="Arial"/>
          <w:sz w:val="20"/>
          <w:szCs w:val="20"/>
        </w:rPr>
        <w:t>ed in the meal</w:t>
      </w:r>
      <w:r>
        <w:rPr>
          <w:rFonts w:ascii="Arial" w:hAnsi="Arial" w:cs="Arial"/>
          <w:sz w:val="20"/>
          <w:szCs w:val="20"/>
        </w:rPr>
        <w:t>.</w:t>
      </w:r>
      <w:r w:rsidR="00514F6D">
        <w:rPr>
          <w:rFonts w:ascii="Arial" w:hAnsi="Arial" w:cs="Arial"/>
          <w:sz w:val="20"/>
          <w:szCs w:val="20"/>
        </w:rPr>
        <w:t xml:space="preserve">  Supplier testing of the final brownie mix was negative for </w:t>
      </w:r>
      <w:r w:rsidR="00514F6D">
        <w:rPr>
          <w:rFonts w:ascii="Arial" w:hAnsi="Arial" w:cs="Arial"/>
          <w:i/>
          <w:sz w:val="20"/>
          <w:szCs w:val="20"/>
        </w:rPr>
        <w:t>Salmonella</w:t>
      </w:r>
      <w:r w:rsidR="00D80639">
        <w:rPr>
          <w:rFonts w:ascii="Arial" w:hAnsi="Arial" w:cs="Arial"/>
          <w:i/>
          <w:sz w:val="20"/>
          <w:szCs w:val="20"/>
        </w:rPr>
        <w:t xml:space="preserve"> </w:t>
      </w:r>
      <w:r w:rsidR="00D80639">
        <w:rPr>
          <w:rFonts w:ascii="Arial" w:hAnsi="Arial" w:cs="Arial"/>
          <w:sz w:val="20"/>
          <w:szCs w:val="20"/>
        </w:rPr>
        <w:t xml:space="preserve">at the time the product was shipped to and received by </w:t>
      </w:r>
      <w:proofErr w:type="spellStart"/>
      <w:r w:rsidR="00D80639">
        <w:rPr>
          <w:rFonts w:ascii="Arial" w:hAnsi="Arial" w:cs="Arial"/>
          <w:sz w:val="20"/>
          <w:szCs w:val="20"/>
        </w:rPr>
        <w:t>Conagra</w:t>
      </w:r>
      <w:proofErr w:type="spellEnd"/>
      <w:r w:rsidR="00D80639">
        <w:rPr>
          <w:rFonts w:ascii="Arial" w:hAnsi="Arial" w:cs="Arial"/>
          <w:sz w:val="20"/>
          <w:szCs w:val="20"/>
        </w:rPr>
        <w:t xml:space="preserve"> Brands</w:t>
      </w:r>
      <w:r w:rsidR="00514F6D">
        <w:rPr>
          <w:rFonts w:ascii="Arial" w:hAnsi="Arial" w:cs="Arial"/>
          <w:sz w:val="20"/>
          <w:szCs w:val="20"/>
        </w:rPr>
        <w:t>.</w:t>
      </w:r>
      <w:r w:rsidR="00D80639">
        <w:rPr>
          <w:rFonts w:ascii="Arial" w:hAnsi="Arial" w:cs="Arial"/>
          <w:sz w:val="20"/>
          <w:szCs w:val="20"/>
        </w:rPr>
        <w:t xml:space="preserve">  However, subsequent testing by the Supplier of an ingredient used at a low level in the brownie mix was positive for </w:t>
      </w:r>
      <w:r w:rsidR="00D80639" w:rsidRPr="0033564C">
        <w:rPr>
          <w:rFonts w:ascii="Arial" w:hAnsi="Arial" w:cs="Arial"/>
          <w:i/>
          <w:sz w:val="20"/>
          <w:szCs w:val="20"/>
        </w:rPr>
        <w:t>Salmonella</w:t>
      </w:r>
      <w:r w:rsidR="00D80639">
        <w:rPr>
          <w:rFonts w:ascii="Arial" w:hAnsi="Arial" w:cs="Arial"/>
          <w:sz w:val="20"/>
          <w:szCs w:val="20"/>
        </w:rPr>
        <w:t>.</w:t>
      </w:r>
      <w:r w:rsidR="00514F6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only potentially impacted component </w:t>
      </w:r>
      <w:r w:rsidR="002D5B0F">
        <w:rPr>
          <w:rFonts w:ascii="Arial" w:hAnsi="Arial" w:cs="Arial"/>
          <w:sz w:val="20"/>
          <w:szCs w:val="20"/>
        </w:rPr>
        <w:t xml:space="preserve">of the single serve meal </w:t>
      </w:r>
      <w:r>
        <w:rPr>
          <w:rFonts w:ascii="Arial" w:hAnsi="Arial" w:cs="Arial"/>
          <w:sz w:val="20"/>
          <w:szCs w:val="20"/>
        </w:rPr>
        <w:t xml:space="preserve">is </w:t>
      </w:r>
      <w:r w:rsidR="002D5B0F">
        <w:rPr>
          <w:rFonts w:ascii="Arial" w:hAnsi="Arial" w:cs="Arial"/>
          <w:sz w:val="20"/>
          <w:szCs w:val="20"/>
        </w:rPr>
        <w:t xml:space="preserve">the </w:t>
      </w:r>
      <w:r w:rsidR="00FA2070">
        <w:rPr>
          <w:rFonts w:ascii="Arial" w:hAnsi="Arial" w:cs="Arial"/>
          <w:sz w:val="20"/>
          <w:szCs w:val="20"/>
        </w:rPr>
        <w:t>brownie</w:t>
      </w:r>
      <w:r>
        <w:rPr>
          <w:rFonts w:ascii="Arial" w:hAnsi="Arial" w:cs="Arial"/>
          <w:sz w:val="20"/>
          <w:szCs w:val="20"/>
        </w:rPr>
        <w:t>.</w:t>
      </w:r>
      <w:r w:rsidR="007C0575">
        <w:rPr>
          <w:rFonts w:ascii="Arial" w:hAnsi="Arial" w:cs="Arial"/>
          <w:sz w:val="20"/>
          <w:szCs w:val="20"/>
        </w:rPr>
        <w:t xml:space="preserve">  </w:t>
      </w:r>
    </w:p>
    <w:p w14:paraId="27A46850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</w:p>
    <w:p w14:paraId="6942826D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  <w:r w:rsidRPr="00CD54F5">
        <w:rPr>
          <w:rFonts w:ascii="Arial" w:hAnsi="Arial" w:cs="Arial"/>
          <w:sz w:val="20"/>
          <w:szCs w:val="20"/>
        </w:rPr>
        <w:t xml:space="preserve">There have been no reports of </w:t>
      </w:r>
      <w:r w:rsidR="00FF0839">
        <w:rPr>
          <w:rFonts w:ascii="Arial" w:hAnsi="Arial" w:cs="Arial"/>
          <w:sz w:val="20"/>
          <w:szCs w:val="20"/>
        </w:rPr>
        <w:t>illness</w:t>
      </w:r>
      <w:r w:rsidRPr="00CD54F5">
        <w:rPr>
          <w:rFonts w:ascii="Arial" w:hAnsi="Arial" w:cs="Arial"/>
          <w:sz w:val="20"/>
          <w:szCs w:val="20"/>
        </w:rPr>
        <w:t xml:space="preserve"> or inju</w:t>
      </w:r>
      <w:r w:rsidR="002D3498">
        <w:rPr>
          <w:rFonts w:ascii="Arial" w:hAnsi="Arial" w:cs="Arial"/>
          <w:sz w:val="20"/>
          <w:szCs w:val="20"/>
        </w:rPr>
        <w:t>ries due to consumption of this product to date</w:t>
      </w:r>
      <w:r w:rsidR="00514F6D">
        <w:rPr>
          <w:rFonts w:ascii="Arial" w:hAnsi="Arial" w:cs="Arial"/>
          <w:sz w:val="20"/>
          <w:szCs w:val="20"/>
        </w:rPr>
        <w:t xml:space="preserve">.  </w:t>
      </w:r>
      <w:r w:rsidR="009B4B1B">
        <w:rPr>
          <w:rFonts w:ascii="Arial" w:hAnsi="Arial" w:cs="Arial"/>
          <w:sz w:val="20"/>
          <w:szCs w:val="20"/>
        </w:rPr>
        <w:t xml:space="preserve">To the extent that any </w:t>
      </w:r>
      <w:r w:rsidR="00FF7910" w:rsidRPr="004436D8">
        <w:rPr>
          <w:rFonts w:ascii="Arial" w:hAnsi="Arial" w:cs="Arial"/>
          <w:i/>
          <w:sz w:val="20"/>
          <w:szCs w:val="20"/>
        </w:rPr>
        <w:t>Salmonella</w:t>
      </w:r>
      <w:r w:rsidR="009B4B1B">
        <w:rPr>
          <w:rFonts w:ascii="Arial" w:hAnsi="Arial" w:cs="Arial"/>
          <w:i/>
          <w:sz w:val="20"/>
          <w:szCs w:val="20"/>
        </w:rPr>
        <w:t xml:space="preserve"> </w:t>
      </w:r>
      <w:r w:rsidR="009B4B1B">
        <w:rPr>
          <w:rFonts w:ascii="Arial" w:hAnsi="Arial" w:cs="Arial"/>
          <w:sz w:val="20"/>
          <w:szCs w:val="20"/>
        </w:rPr>
        <w:t xml:space="preserve">is present in the brownie mix, </w:t>
      </w:r>
      <w:proofErr w:type="spellStart"/>
      <w:r w:rsidR="009B4B1B">
        <w:rPr>
          <w:rFonts w:ascii="Arial" w:hAnsi="Arial" w:cs="Arial"/>
          <w:sz w:val="20"/>
          <w:szCs w:val="20"/>
        </w:rPr>
        <w:t>Conagra</w:t>
      </w:r>
      <w:proofErr w:type="spellEnd"/>
      <w:r w:rsidR="009B4B1B">
        <w:rPr>
          <w:rFonts w:ascii="Arial" w:hAnsi="Arial" w:cs="Arial"/>
          <w:sz w:val="20"/>
          <w:szCs w:val="20"/>
        </w:rPr>
        <w:t xml:space="preserve"> Brands has confirmed that following the cooking instructions on the package eliminates any possible r</w:t>
      </w:r>
      <w:r w:rsidR="006D7626">
        <w:rPr>
          <w:rFonts w:ascii="Arial" w:hAnsi="Arial" w:cs="Arial"/>
          <w:sz w:val="20"/>
          <w:szCs w:val="20"/>
        </w:rPr>
        <w:t>isk. However, out of an</w:t>
      </w:r>
      <w:r w:rsidR="009B4B1B">
        <w:rPr>
          <w:rFonts w:ascii="Arial" w:hAnsi="Arial" w:cs="Arial"/>
          <w:sz w:val="20"/>
          <w:szCs w:val="20"/>
        </w:rPr>
        <w:t xml:space="preserve"> abundance of caution, </w:t>
      </w:r>
      <w:proofErr w:type="spellStart"/>
      <w:r w:rsidR="009B4B1B">
        <w:rPr>
          <w:rFonts w:ascii="Arial" w:hAnsi="Arial" w:cs="Arial"/>
          <w:sz w:val="20"/>
          <w:szCs w:val="20"/>
        </w:rPr>
        <w:t>Conagra</w:t>
      </w:r>
      <w:proofErr w:type="spellEnd"/>
      <w:r w:rsidR="009B4B1B">
        <w:rPr>
          <w:rFonts w:ascii="Arial" w:hAnsi="Arial" w:cs="Arial"/>
          <w:sz w:val="20"/>
          <w:szCs w:val="20"/>
        </w:rPr>
        <w:t xml:space="preserve"> Brands </w:t>
      </w:r>
      <w:r w:rsidR="006D7626">
        <w:rPr>
          <w:rFonts w:ascii="Arial" w:hAnsi="Arial" w:cs="Arial"/>
          <w:sz w:val="20"/>
          <w:szCs w:val="20"/>
        </w:rPr>
        <w:t>has decided to conduct</w:t>
      </w:r>
      <w:r w:rsidR="009B4B1B">
        <w:rPr>
          <w:rFonts w:ascii="Arial" w:hAnsi="Arial" w:cs="Arial"/>
          <w:sz w:val="20"/>
          <w:szCs w:val="20"/>
        </w:rPr>
        <w:t xml:space="preserve"> a voluntary market withdrawal </w:t>
      </w:r>
      <w:r w:rsidR="006D7626">
        <w:rPr>
          <w:rFonts w:ascii="Arial" w:hAnsi="Arial" w:cs="Arial"/>
          <w:sz w:val="20"/>
          <w:szCs w:val="20"/>
        </w:rPr>
        <w:t>for the impacted product.</w:t>
      </w:r>
      <w:r w:rsidR="00FF7910" w:rsidRPr="00FF79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910">
        <w:rPr>
          <w:rFonts w:ascii="Arial" w:hAnsi="Arial" w:cs="Arial"/>
          <w:sz w:val="20"/>
          <w:szCs w:val="20"/>
        </w:rPr>
        <w:t>Conagra</w:t>
      </w:r>
      <w:proofErr w:type="spellEnd"/>
      <w:r w:rsidR="00FF7910">
        <w:rPr>
          <w:rFonts w:ascii="Arial" w:hAnsi="Arial" w:cs="Arial"/>
          <w:sz w:val="20"/>
          <w:szCs w:val="20"/>
        </w:rPr>
        <w:t xml:space="preserve"> Brands is cooperating with USDA in connection with this market withdrawal.  The USDA </w:t>
      </w:r>
      <w:r w:rsidR="007E6BFD">
        <w:rPr>
          <w:rFonts w:ascii="Arial" w:hAnsi="Arial" w:cs="Arial"/>
          <w:sz w:val="20"/>
          <w:szCs w:val="20"/>
        </w:rPr>
        <w:t>has not reque</w:t>
      </w:r>
      <w:r w:rsidR="00514F6D">
        <w:rPr>
          <w:rFonts w:ascii="Arial" w:hAnsi="Arial" w:cs="Arial"/>
          <w:sz w:val="20"/>
          <w:szCs w:val="20"/>
        </w:rPr>
        <w:t xml:space="preserve">sted that </w:t>
      </w:r>
      <w:proofErr w:type="spellStart"/>
      <w:r w:rsidR="00514F6D">
        <w:rPr>
          <w:rFonts w:ascii="Arial" w:hAnsi="Arial" w:cs="Arial"/>
          <w:sz w:val="20"/>
          <w:szCs w:val="20"/>
        </w:rPr>
        <w:t>Conagra</w:t>
      </w:r>
      <w:proofErr w:type="spellEnd"/>
      <w:r w:rsidR="00514F6D">
        <w:rPr>
          <w:rFonts w:ascii="Arial" w:hAnsi="Arial" w:cs="Arial"/>
          <w:sz w:val="20"/>
          <w:szCs w:val="20"/>
        </w:rPr>
        <w:t xml:space="preserve"> Brands</w:t>
      </w:r>
      <w:r w:rsidR="007E6BFD">
        <w:rPr>
          <w:rFonts w:ascii="Arial" w:hAnsi="Arial" w:cs="Arial"/>
          <w:sz w:val="20"/>
          <w:szCs w:val="20"/>
        </w:rPr>
        <w:t xml:space="preserve"> recall the impacted product, but </w:t>
      </w:r>
      <w:r w:rsidR="00FF7910">
        <w:rPr>
          <w:rFonts w:ascii="Arial" w:hAnsi="Arial" w:cs="Arial"/>
          <w:sz w:val="20"/>
          <w:szCs w:val="20"/>
        </w:rPr>
        <w:t xml:space="preserve">will be </w:t>
      </w:r>
      <w:r w:rsidR="00C4299D">
        <w:rPr>
          <w:rFonts w:ascii="Arial" w:hAnsi="Arial" w:cs="Arial"/>
          <w:sz w:val="20"/>
          <w:szCs w:val="20"/>
        </w:rPr>
        <w:t>posting an alert on their website</w:t>
      </w:r>
      <w:r w:rsidR="00410318">
        <w:rPr>
          <w:rFonts w:ascii="Arial" w:hAnsi="Arial" w:cs="Arial"/>
          <w:sz w:val="20"/>
          <w:szCs w:val="20"/>
        </w:rPr>
        <w:t>. Consumers</w:t>
      </w:r>
      <w:r w:rsidR="008248E0">
        <w:rPr>
          <w:rFonts w:ascii="Arial" w:hAnsi="Arial" w:cs="Arial"/>
          <w:sz w:val="20"/>
          <w:szCs w:val="20"/>
        </w:rPr>
        <w:t xml:space="preserve"> with questions about the</w:t>
      </w:r>
      <w:r w:rsidR="00C4299D">
        <w:rPr>
          <w:rFonts w:ascii="Arial" w:hAnsi="Arial" w:cs="Arial"/>
          <w:sz w:val="20"/>
          <w:szCs w:val="20"/>
        </w:rPr>
        <w:t xml:space="preserve"> alert</w:t>
      </w:r>
      <w:r w:rsidR="008248E0">
        <w:rPr>
          <w:rFonts w:ascii="Arial" w:hAnsi="Arial" w:cs="Arial"/>
          <w:sz w:val="20"/>
          <w:szCs w:val="20"/>
        </w:rPr>
        <w:t xml:space="preserve"> should contact </w:t>
      </w:r>
      <w:proofErr w:type="spellStart"/>
      <w:r w:rsidR="008248E0">
        <w:rPr>
          <w:rFonts w:ascii="Arial" w:hAnsi="Arial" w:cs="Arial"/>
          <w:sz w:val="20"/>
          <w:szCs w:val="20"/>
        </w:rPr>
        <w:t>Conagra</w:t>
      </w:r>
      <w:proofErr w:type="spellEnd"/>
      <w:r w:rsidR="008248E0">
        <w:rPr>
          <w:rFonts w:ascii="Arial" w:hAnsi="Arial" w:cs="Arial"/>
          <w:sz w:val="20"/>
          <w:szCs w:val="20"/>
        </w:rPr>
        <w:t xml:space="preserve"> Brands consumer affairs at </w:t>
      </w:r>
      <w:r w:rsidR="008248E0" w:rsidRPr="008248E0">
        <w:rPr>
          <w:rFonts w:ascii="Arial" w:hAnsi="Arial" w:cs="Arial"/>
          <w:sz w:val="20"/>
          <w:szCs w:val="20"/>
        </w:rPr>
        <w:t>(800) 289-6014</w:t>
      </w:r>
      <w:r w:rsidR="008248E0">
        <w:rPr>
          <w:rFonts w:ascii="Arial" w:hAnsi="Arial" w:cs="Arial"/>
          <w:sz w:val="20"/>
          <w:szCs w:val="20"/>
        </w:rPr>
        <w:t xml:space="preserve"> from 9AM-5PM</w:t>
      </w:r>
      <w:r w:rsidR="00410318">
        <w:rPr>
          <w:rFonts w:ascii="Arial" w:hAnsi="Arial" w:cs="Arial"/>
          <w:sz w:val="20"/>
          <w:szCs w:val="20"/>
        </w:rPr>
        <w:t xml:space="preserve"> CDT</w:t>
      </w:r>
      <w:r w:rsidR="008248E0">
        <w:rPr>
          <w:rFonts w:ascii="Arial" w:hAnsi="Arial" w:cs="Arial"/>
          <w:sz w:val="20"/>
          <w:szCs w:val="20"/>
        </w:rPr>
        <w:t xml:space="preserve"> Monday through Friday</w:t>
      </w:r>
      <w:r w:rsidR="008248E0" w:rsidRPr="008248E0">
        <w:rPr>
          <w:rFonts w:ascii="Arial" w:hAnsi="Arial" w:cs="Arial"/>
          <w:sz w:val="20"/>
          <w:szCs w:val="20"/>
        </w:rPr>
        <w:t>.</w:t>
      </w:r>
    </w:p>
    <w:p w14:paraId="379286BC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</w:p>
    <w:p w14:paraId="0B47ACCC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  <w:r w:rsidRPr="00CD54F5">
        <w:rPr>
          <w:rFonts w:ascii="Arial" w:hAnsi="Arial" w:cs="Arial"/>
          <w:sz w:val="20"/>
          <w:szCs w:val="20"/>
        </w:rPr>
        <w:t>The item listed below</w:t>
      </w:r>
      <w:r w:rsidR="002D3498">
        <w:rPr>
          <w:rFonts w:ascii="Arial" w:hAnsi="Arial" w:cs="Arial"/>
          <w:sz w:val="20"/>
          <w:szCs w:val="20"/>
        </w:rPr>
        <w:t xml:space="preserve"> is</w:t>
      </w:r>
      <w:r w:rsidRPr="00CD54F5">
        <w:rPr>
          <w:rFonts w:ascii="Arial" w:hAnsi="Arial" w:cs="Arial"/>
          <w:sz w:val="20"/>
          <w:szCs w:val="20"/>
        </w:rPr>
        <w:t xml:space="preserve"> impacted by the</w:t>
      </w:r>
      <w:r w:rsidR="008A147A">
        <w:rPr>
          <w:rFonts w:ascii="Arial" w:hAnsi="Arial" w:cs="Arial"/>
          <w:sz w:val="20"/>
          <w:szCs w:val="20"/>
        </w:rPr>
        <w:t xml:space="preserve"> market</w:t>
      </w:r>
      <w:r w:rsidRPr="00CD54F5">
        <w:rPr>
          <w:rFonts w:ascii="Arial" w:hAnsi="Arial" w:cs="Arial"/>
          <w:sz w:val="20"/>
          <w:szCs w:val="20"/>
        </w:rPr>
        <w:t xml:space="preserve"> </w:t>
      </w:r>
      <w:r w:rsidR="008D4195">
        <w:rPr>
          <w:rFonts w:ascii="Arial" w:hAnsi="Arial" w:cs="Arial"/>
          <w:sz w:val="20"/>
          <w:szCs w:val="20"/>
        </w:rPr>
        <w:t>withdrawal</w:t>
      </w:r>
      <w:r w:rsidRPr="00CD54F5">
        <w:rPr>
          <w:rFonts w:ascii="Arial" w:hAnsi="Arial" w:cs="Arial"/>
          <w:sz w:val="16"/>
          <w:szCs w:val="20"/>
        </w:rPr>
        <w:t xml:space="preserve">.  </w:t>
      </w:r>
      <w:r w:rsidRPr="00CD54F5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voluntary </w:t>
      </w:r>
      <w:r w:rsidR="008A147A">
        <w:rPr>
          <w:rFonts w:ascii="Arial" w:hAnsi="Arial" w:cs="Arial"/>
          <w:sz w:val="20"/>
          <w:szCs w:val="20"/>
        </w:rPr>
        <w:t xml:space="preserve">market </w:t>
      </w:r>
      <w:r w:rsidR="008D4195">
        <w:rPr>
          <w:rFonts w:ascii="Arial" w:hAnsi="Arial" w:cs="Arial"/>
          <w:sz w:val="20"/>
          <w:szCs w:val="20"/>
        </w:rPr>
        <w:t>withdrawal</w:t>
      </w:r>
      <w:r w:rsidRPr="00CD54F5">
        <w:rPr>
          <w:rFonts w:ascii="Arial" w:hAnsi="Arial" w:cs="Arial"/>
          <w:sz w:val="20"/>
          <w:szCs w:val="20"/>
        </w:rPr>
        <w:t xml:space="preserve"> does not impact </w:t>
      </w:r>
      <w:r>
        <w:rPr>
          <w:rFonts w:ascii="Arial" w:hAnsi="Arial" w:cs="Arial"/>
          <w:sz w:val="20"/>
          <w:szCs w:val="20"/>
        </w:rPr>
        <w:t>any other</w:t>
      </w:r>
      <w:r w:rsidR="00F233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3A8">
        <w:rPr>
          <w:rFonts w:ascii="Arial" w:hAnsi="Arial" w:cs="Arial"/>
          <w:sz w:val="20"/>
          <w:szCs w:val="20"/>
        </w:rPr>
        <w:t>Conagra</w:t>
      </w:r>
      <w:proofErr w:type="spellEnd"/>
      <w:r w:rsidR="00F233A8">
        <w:rPr>
          <w:rFonts w:ascii="Arial" w:hAnsi="Arial" w:cs="Arial"/>
          <w:sz w:val="20"/>
          <w:szCs w:val="20"/>
        </w:rPr>
        <w:t xml:space="preserve"> Brands or</w:t>
      </w:r>
      <w:r>
        <w:rPr>
          <w:rFonts w:ascii="Arial" w:hAnsi="Arial" w:cs="Arial"/>
          <w:sz w:val="20"/>
          <w:szCs w:val="20"/>
        </w:rPr>
        <w:t xml:space="preserve"> </w:t>
      </w:r>
      <w:r w:rsidR="00FA2070">
        <w:rPr>
          <w:rFonts w:ascii="Arial" w:hAnsi="Arial" w:cs="Arial"/>
          <w:sz w:val="20"/>
          <w:szCs w:val="20"/>
        </w:rPr>
        <w:t xml:space="preserve">Banquet </w:t>
      </w:r>
      <w:r>
        <w:rPr>
          <w:rFonts w:ascii="Arial" w:hAnsi="Arial" w:cs="Arial"/>
          <w:sz w:val="20"/>
          <w:szCs w:val="20"/>
        </w:rPr>
        <w:t xml:space="preserve">products.  </w:t>
      </w:r>
    </w:p>
    <w:p w14:paraId="57BCC10F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</w:p>
    <w:tbl>
      <w:tblPr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3165"/>
        <w:gridCol w:w="2070"/>
        <w:gridCol w:w="1350"/>
        <w:gridCol w:w="1350"/>
      </w:tblGrid>
      <w:tr w:rsidR="00EC2F4E" w:rsidRPr="00CD54F5" w14:paraId="40FD342E" w14:textId="77777777" w:rsidTr="002620B2">
        <w:trPr>
          <w:trHeight w:val="295"/>
          <w:jc w:val="center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474A11" w14:textId="77777777" w:rsidR="00EC2F4E" w:rsidRPr="00CD54F5" w:rsidRDefault="00EC2F4E" w:rsidP="00CD5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5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 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F16469" w14:textId="77777777" w:rsidR="00EC2F4E" w:rsidRPr="00CD54F5" w:rsidRDefault="00EC2F4E" w:rsidP="00CD5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5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A60244" w14:textId="77777777" w:rsidR="00EC2F4E" w:rsidRPr="00CD54F5" w:rsidRDefault="00EC2F4E" w:rsidP="00CD5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5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MFG/Lot 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B19065" w14:textId="77777777" w:rsidR="00EC2F4E" w:rsidRPr="00CD54F5" w:rsidRDefault="00EC2F4E" w:rsidP="00CD5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54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Best By Date</w:t>
            </w:r>
          </w:p>
        </w:tc>
      </w:tr>
      <w:tr w:rsidR="00EC2F4E" w:rsidRPr="00CD54F5" w14:paraId="2EACBE52" w14:textId="77777777" w:rsidTr="00FE2BD4">
        <w:trPr>
          <w:trHeight w:val="24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991C" w14:textId="77777777" w:rsidR="00EC2F4E" w:rsidRPr="001614F5" w:rsidRDefault="00CB5069" w:rsidP="001614F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5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BQ CHKN NGT MAC N CHSE 12/7.4Z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99D31" w14:textId="77777777" w:rsidR="00EC2F4E" w:rsidRPr="001614F5" w:rsidRDefault="00CB5069" w:rsidP="001614F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5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31000-80921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0285C" w14:textId="77777777" w:rsidR="00EC2F4E" w:rsidRPr="001614F5" w:rsidRDefault="00FA2070" w:rsidP="001614F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5009702600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16CE" w14:textId="77777777" w:rsidR="00EC2F4E" w:rsidRPr="001614F5" w:rsidRDefault="00FA2070" w:rsidP="00CD54F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JUL 20 2018</w:t>
            </w:r>
          </w:p>
        </w:tc>
      </w:tr>
    </w:tbl>
    <w:p w14:paraId="340E0F54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</w:p>
    <w:p w14:paraId="1A6EE48E" w14:textId="5471465A" w:rsidR="00CD54F5" w:rsidRDefault="00552EA0" w:rsidP="00552EA0">
      <w:pPr>
        <w:rPr>
          <w:rFonts w:ascii="Arial" w:hAnsi="Arial" w:cs="Arial"/>
          <w:sz w:val="20"/>
          <w:szCs w:val="20"/>
        </w:rPr>
      </w:pPr>
      <w:r w:rsidRPr="00CD54F5">
        <w:rPr>
          <w:rFonts w:ascii="Arial" w:hAnsi="Arial" w:cs="Arial"/>
          <w:sz w:val="20"/>
          <w:szCs w:val="20"/>
        </w:rPr>
        <w:t xml:space="preserve">This product was shipped to you on the dates listed below. </w:t>
      </w:r>
      <w:r w:rsidR="00CD54F5" w:rsidRPr="00CD54F5">
        <w:rPr>
          <w:rFonts w:ascii="Arial" w:hAnsi="Arial" w:cs="Arial"/>
          <w:sz w:val="20"/>
          <w:szCs w:val="20"/>
        </w:rPr>
        <w:t xml:space="preserve">Store-level product and warehouse-level product </w:t>
      </w:r>
      <w:r w:rsidR="00FA2070">
        <w:rPr>
          <w:rFonts w:ascii="Arial" w:hAnsi="Arial" w:cs="Arial"/>
          <w:sz w:val="20"/>
          <w:szCs w:val="20"/>
        </w:rPr>
        <w:t>with the impacted lot code</w:t>
      </w:r>
      <w:r w:rsidR="00D2428B">
        <w:rPr>
          <w:rFonts w:ascii="Arial" w:hAnsi="Arial" w:cs="Arial"/>
          <w:sz w:val="20"/>
          <w:szCs w:val="20"/>
        </w:rPr>
        <w:t xml:space="preserve"> </w:t>
      </w:r>
      <w:r w:rsidR="006D7626">
        <w:rPr>
          <w:rFonts w:ascii="Arial" w:hAnsi="Arial" w:cs="Arial"/>
          <w:sz w:val="20"/>
          <w:szCs w:val="20"/>
        </w:rPr>
        <w:t>should</w:t>
      </w:r>
      <w:r w:rsidR="00CD54F5" w:rsidRPr="00CD54F5">
        <w:rPr>
          <w:rFonts w:ascii="Arial" w:hAnsi="Arial" w:cs="Arial"/>
          <w:sz w:val="20"/>
          <w:szCs w:val="20"/>
        </w:rPr>
        <w:t xml:space="preserve"> be destroyed per your usual reclamation or </w:t>
      </w:r>
      <w:proofErr w:type="spellStart"/>
      <w:r w:rsidR="00CD54F5" w:rsidRPr="00CD54F5">
        <w:rPr>
          <w:rFonts w:ascii="Arial" w:hAnsi="Arial" w:cs="Arial"/>
          <w:sz w:val="20"/>
          <w:szCs w:val="20"/>
        </w:rPr>
        <w:t>unsaleables</w:t>
      </w:r>
      <w:proofErr w:type="spellEnd"/>
      <w:r w:rsidR="00CD54F5" w:rsidRPr="00CD54F5">
        <w:rPr>
          <w:rFonts w:ascii="Arial" w:hAnsi="Arial" w:cs="Arial"/>
          <w:sz w:val="20"/>
          <w:szCs w:val="20"/>
        </w:rPr>
        <w:t xml:space="preserve"> process. Attached is an affidavit of destruction. Please complete and fax the form to the number provided on the affidavit to receive credit. </w:t>
      </w:r>
    </w:p>
    <w:p w14:paraId="19D6F084" w14:textId="77777777" w:rsidR="001F550C" w:rsidRPr="00CD54F5" w:rsidRDefault="001F550C" w:rsidP="00552EA0">
      <w:pPr>
        <w:rPr>
          <w:rFonts w:ascii="Arial" w:hAnsi="Arial" w:cs="Arial"/>
          <w:sz w:val="20"/>
          <w:szCs w:val="20"/>
        </w:rPr>
      </w:pPr>
    </w:p>
    <w:p w14:paraId="2B42E9AA" w14:textId="299AC61C" w:rsidR="00CD54F5" w:rsidRPr="00CD54F5" w:rsidRDefault="001F550C" w:rsidP="00CD54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;</w:t>
      </w:r>
      <w:r w:rsidRPr="001F550C">
        <w:rPr>
          <w:rFonts w:ascii="Arial" w:hAnsi="Arial" w:cs="Arial"/>
          <w:b/>
          <w:sz w:val="20"/>
          <w:szCs w:val="20"/>
        </w:rPr>
        <w:t>URM</w:t>
      </w:r>
      <w:proofErr w:type="gramEnd"/>
      <w:r w:rsidRPr="001F550C">
        <w:rPr>
          <w:rFonts w:ascii="Arial" w:hAnsi="Arial" w:cs="Arial"/>
          <w:b/>
          <w:sz w:val="20"/>
          <w:szCs w:val="20"/>
        </w:rPr>
        <w:t xml:space="preserve"> Stores, Inc. –</w:t>
      </w:r>
      <w:r>
        <w:rPr>
          <w:rFonts w:ascii="Arial" w:hAnsi="Arial" w:cs="Arial"/>
          <w:sz w:val="20"/>
          <w:szCs w:val="20"/>
        </w:rPr>
        <w:t xml:space="preserve"> </w:t>
      </w:r>
      <w:r w:rsidRPr="001F550C">
        <w:rPr>
          <w:rFonts w:ascii="Arial" w:hAnsi="Arial" w:cs="Arial"/>
          <w:b/>
          <w:sz w:val="20"/>
          <w:szCs w:val="20"/>
        </w:rPr>
        <w:t>Item # 92070-2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560"/>
        <w:gridCol w:w="1620"/>
        <w:gridCol w:w="1620"/>
        <w:gridCol w:w="622"/>
        <w:gridCol w:w="680"/>
        <w:gridCol w:w="1140"/>
        <w:gridCol w:w="1320"/>
        <w:gridCol w:w="1120"/>
      </w:tblGrid>
      <w:tr w:rsidR="001F550C" w:rsidRPr="001F550C" w14:paraId="525EDF68" w14:textId="77777777" w:rsidTr="001F550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6329A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Item 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01E62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Case UPC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A4050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Unit UPC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20512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PO#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96360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 xml:space="preserve">Case </w:t>
            </w:r>
            <w:proofErr w:type="spellStart"/>
            <w:r w:rsidRPr="001F550C">
              <w:rPr>
                <w:b/>
                <w:bCs/>
                <w:color w:val="000000"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61990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Delivery 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F9249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Batch/Lot Code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BE6B7" w14:textId="77777777" w:rsidR="001F550C" w:rsidRPr="001F550C" w:rsidRDefault="001F550C" w:rsidP="001F55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50C">
              <w:rPr>
                <w:b/>
                <w:bCs/>
                <w:color w:val="000000"/>
                <w:sz w:val="16"/>
                <w:szCs w:val="16"/>
              </w:rPr>
              <w:t>Best By Date</w:t>
            </w:r>
          </w:p>
        </w:tc>
      </w:tr>
      <w:tr w:rsidR="001F550C" w:rsidRPr="001F550C" w14:paraId="0E94E714" w14:textId="77777777" w:rsidTr="001F550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C53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BQ CHKN NGT MAC N CHSE 12/7.4Z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313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20-0-31000-80921-2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F36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00-0-31000-80921-8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641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60877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6B12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B1E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3/1/2017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EC1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5009702600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614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7/20/2018</w:t>
            </w:r>
          </w:p>
        </w:tc>
      </w:tr>
      <w:tr w:rsidR="001F550C" w:rsidRPr="001F550C" w14:paraId="137957E1" w14:textId="77777777" w:rsidTr="001F550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AB62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BQ CHKN NGT MAC N CHSE 12/7.4Z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C2A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20-0-31000-80921-2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528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00-0-31000-80921-8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D0B6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61964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CB1F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CC2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3/10/2017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16AA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5009702600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FF0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7/20/2018</w:t>
            </w:r>
          </w:p>
        </w:tc>
      </w:tr>
      <w:tr w:rsidR="001F550C" w:rsidRPr="001F550C" w14:paraId="44B7B2E0" w14:textId="77777777" w:rsidTr="001F550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8CC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BQ CHKN NGT MAC N CHSE 12/7.4Z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D95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20-0-31000-80921-2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DF1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00-0-31000-80921-8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4F5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63893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61C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AB8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3/24/2017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9EC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5009702600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DD8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7/20/2018</w:t>
            </w:r>
          </w:p>
        </w:tc>
      </w:tr>
      <w:tr w:rsidR="001F550C" w:rsidRPr="001F550C" w14:paraId="4B52053C" w14:textId="77777777" w:rsidTr="001F550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B6F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BQ CHKN NGT MAC N CHSE 12/7.4Z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5EB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20-0-31000-80921-2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4FB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00-0-31000-80921-8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E80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64342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53A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E28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3/28/2017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1770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5009702600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489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7/20/2018</w:t>
            </w:r>
          </w:p>
        </w:tc>
      </w:tr>
      <w:tr w:rsidR="001F550C" w:rsidRPr="001F550C" w14:paraId="23EB9358" w14:textId="77777777" w:rsidTr="001F550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3FE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BQ CHKN NGT MAC N CHSE 12/7.4Z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EE8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20-0-31000-80921-2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6A2" w14:textId="77777777" w:rsidR="001F550C" w:rsidRPr="001F550C" w:rsidRDefault="001F550C" w:rsidP="001F550C">
            <w:pPr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00-0-31000-80921-8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7237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65783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7E5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3B4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4/7/2017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697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5009702600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E9E" w14:textId="77777777" w:rsidR="001F550C" w:rsidRPr="001F550C" w:rsidRDefault="001F550C" w:rsidP="001F550C">
            <w:pPr>
              <w:jc w:val="center"/>
              <w:rPr>
                <w:color w:val="000000"/>
                <w:sz w:val="16"/>
                <w:szCs w:val="16"/>
              </w:rPr>
            </w:pPr>
            <w:r w:rsidRPr="001F550C">
              <w:rPr>
                <w:color w:val="000000"/>
                <w:sz w:val="16"/>
                <w:szCs w:val="16"/>
              </w:rPr>
              <w:t>7/20/2018</w:t>
            </w:r>
          </w:p>
        </w:tc>
      </w:tr>
    </w:tbl>
    <w:p w14:paraId="2690A9E3" w14:textId="77777777" w:rsidR="00CD54F5" w:rsidRDefault="00CD54F5" w:rsidP="00CD54F5">
      <w:pPr>
        <w:rPr>
          <w:rFonts w:ascii="Arial" w:hAnsi="Arial" w:cs="Arial"/>
          <w:sz w:val="20"/>
          <w:szCs w:val="20"/>
        </w:rPr>
      </w:pPr>
    </w:p>
    <w:p w14:paraId="1B03BCD5" w14:textId="77777777" w:rsidR="00110ED8" w:rsidRPr="00CD54F5" w:rsidRDefault="00110ED8" w:rsidP="00CD54F5">
      <w:pPr>
        <w:rPr>
          <w:rFonts w:ascii="Arial" w:hAnsi="Arial" w:cs="Arial"/>
          <w:sz w:val="20"/>
          <w:szCs w:val="20"/>
        </w:rPr>
      </w:pPr>
    </w:p>
    <w:p w14:paraId="16D2390B" w14:textId="77777777" w:rsidR="00CD54F5" w:rsidRPr="00CD54F5" w:rsidRDefault="00CD54F5" w:rsidP="00CD54F5">
      <w:pPr>
        <w:rPr>
          <w:rFonts w:ascii="Arial" w:hAnsi="Arial" w:cs="Arial"/>
          <w:sz w:val="20"/>
          <w:szCs w:val="20"/>
        </w:rPr>
      </w:pPr>
      <w:r w:rsidRPr="00CD54F5">
        <w:rPr>
          <w:rFonts w:ascii="Arial" w:hAnsi="Arial" w:cs="Arial"/>
          <w:sz w:val="20"/>
          <w:szCs w:val="20"/>
        </w:rPr>
        <w:t>We apologize for any business disruption this may cause and thank you for your support in this matter. If you have any questions</w:t>
      </w:r>
      <w:r w:rsidR="00C4299D">
        <w:rPr>
          <w:rFonts w:ascii="Arial" w:hAnsi="Arial" w:cs="Arial"/>
          <w:sz w:val="20"/>
          <w:szCs w:val="20"/>
        </w:rPr>
        <w:t>,</w:t>
      </w:r>
      <w:r w:rsidRPr="00CD54F5">
        <w:rPr>
          <w:rFonts w:ascii="Arial" w:hAnsi="Arial" w:cs="Arial"/>
          <w:sz w:val="20"/>
          <w:szCs w:val="20"/>
        </w:rPr>
        <w:t xml:space="preserve"> please reach out to your sales contact.</w:t>
      </w:r>
    </w:p>
    <w:p w14:paraId="19E30ABA" w14:textId="77777777" w:rsidR="008A1BBC" w:rsidRDefault="008A1BBC" w:rsidP="008A1BBC">
      <w:pPr>
        <w:rPr>
          <w:rFonts w:ascii="Arial" w:hAnsi="Arial" w:cs="Arial"/>
        </w:rPr>
      </w:pPr>
    </w:p>
    <w:p w14:paraId="361F5019" w14:textId="77777777" w:rsidR="00C4299D" w:rsidRPr="0079590B" w:rsidRDefault="00C4299D" w:rsidP="008A1BBC">
      <w:pPr>
        <w:rPr>
          <w:rFonts w:ascii="Arial" w:hAnsi="Arial" w:cs="Arial"/>
        </w:rPr>
      </w:pPr>
    </w:p>
    <w:p w14:paraId="6A509058" w14:textId="77777777" w:rsidR="008A1BBC" w:rsidRPr="0092524E" w:rsidRDefault="008A1BBC" w:rsidP="008A1BBC">
      <w:pPr>
        <w:rPr>
          <w:rFonts w:ascii="Arial" w:hAnsi="Arial" w:cs="Arial"/>
          <w:sz w:val="20"/>
        </w:rPr>
      </w:pPr>
      <w:r w:rsidRPr="0092524E">
        <w:rPr>
          <w:rFonts w:ascii="Arial" w:hAnsi="Arial" w:cs="Arial"/>
          <w:sz w:val="20"/>
        </w:rPr>
        <w:t>Sincerely,</w:t>
      </w:r>
    </w:p>
    <w:p w14:paraId="2FBE61D4" w14:textId="77777777" w:rsidR="008A1BBC" w:rsidRPr="0079590B" w:rsidRDefault="005762C0" w:rsidP="008A1BBC">
      <w:pPr>
        <w:rPr>
          <w:rFonts w:ascii="Arial" w:hAnsi="Arial" w:cs="Arial"/>
        </w:rPr>
      </w:pPr>
      <w:r w:rsidRPr="00AA6F02">
        <w:rPr>
          <w:noProof/>
        </w:rPr>
        <w:drawing>
          <wp:inline distT="0" distB="0" distL="0" distR="0" wp14:anchorId="36FBF481" wp14:editId="7ADFB806">
            <wp:extent cx="1657978" cy="528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32" cy="53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BE09" w14:textId="77777777" w:rsidR="008A1BBC" w:rsidRPr="0092524E" w:rsidRDefault="005762C0" w:rsidP="008A1BBC">
      <w:pPr>
        <w:rPr>
          <w:rFonts w:ascii="Arial" w:hAnsi="Arial" w:cs="Arial"/>
          <w:sz w:val="20"/>
        </w:rPr>
      </w:pPr>
      <w:r w:rsidRPr="0092524E">
        <w:rPr>
          <w:rFonts w:ascii="Arial" w:hAnsi="Arial" w:cs="Arial"/>
          <w:sz w:val="20"/>
        </w:rPr>
        <w:t>Derek De La Mater</w:t>
      </w:r>
    </w:p>
    <w:p w14:paraId="7E7625B3" w14:textId="77777777" w:rsidR="00794DCB" w:rsidRPr="0092524E" w:rsidRDefault="005762C0">
      <w:pPr>
        <w:rPr>
          <w:rFonts w:ascii="Arial" w:hAnsi="Arial" w:cs="Arial"/>
          <w:sz w:val="20"/>
        </w:rPr>
      </w:pPr>
      <w:r w:rsidRPr="0092524E">
        <w:rPr>
          <w:rFonts w:ascii="Arial" w:hAnsi="Arial" w:cs="Arial"/>
          <w:sz w:val="20"/>
        </w:rPr>
        <w:t>Executive Vice President and President of Sales</w:t>
      </w:r>
    </w:p>
    <w:sectPr w:rsidR="00794DCB" w:rsidRPr="0092524E" w:rsidSect="00A34766">
      <w:footerReference w:type="default" r:id="rId14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D09A" w14:textId="77777777" w:rsidR="00125868" w:rsidRDefault="00125868" w:rsidP="00BD0BA3">
      <w:r>
        <w:separator/>
      </w:r>
    </w:p>
  </w:endnote>
  <w:endnote w:type="continuationSeparator" w:id="0">
    <w:p w14:paraId="10EAADAB" w14:textId="77777777" w:rsidR="00125868" w:rsidRDefault="00125868" w:rsidP="00B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054C" w14:textId="77777777" w:rsidR="00BD0BA3" w:rsidRPr="00BD0BA3" w:rsidRDefault="00BD0BA3" w:rsidP="00BD0BA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C14C" w14:textId="77777777" w:rsidR="00125868" w:rsidRDefault="00125868" w:rsidP="00BD0BA3">
      <w:r>
        <w:separator/>
      </w:r>
    </w:p>
  </w:footnote>
  <w:footnote w:type="continuationSeparator" w:id="0">
    <w:p w14:paraId="31168575" w14:textId="77777777" w:rsidR="00125868" w:rsidRDefault="00125868" w:rsidP="00BD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41"/>
    <w:multiLevelType w:val="hybridMultilevel"/>
    <w:tmpl w:val="BB14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2AA"/>
    <w:multiLevelType w:val="hybridMultilevel"/>
    <w:tmpl w:val="CD9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F35"/>
    <w:multiLevelType w:val="hybridMultilevel"/>
    <w:tmpl w:val="E4A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CFB"/>
    <w:multiLevelType w:val="hybridMultilevel"/>
    <w:tmpl w:val="A8A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7C7F"/>
    <w:multiLevelType w:val="hybridMultilevel"/>
    <w:tmpl w:val="C084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0EE8"/>
    <w:multiLevelType w:val="hybridMultilevel"/>
    <w:tmpl w:val="32CA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5B1D"/>
    <w:multiLevelType w:val="hybridMultilevel"/>
    <w:tmpl w:val="4EAE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1BBF"/>
    <w:multiLevelType w:val="hybridMultilevel"/>
    <w:tmpl w:val="584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DE9"/>
    <w:multiLevelType w:val="hybridMultilevel"/>
    <w:tmpl w:val="36D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CD9"/>
    <w:multiLevelType w:val="hybridMultilevel"/>
    <w:tmpl w:val="3A0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B2F84"/>
    <w:multiLevelType w:val="hybridMultilevel"/>
    <w:tmpl w:val="3D5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5CC7"/>
    <w:multiLevelType w:val="hybridMultilevel"/>
    <w:tmpl w:val="165A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A3"/>
    <w:rsid w:val="00010B06"/>
    <w:rsid w:val="00024931"/>
    <w:rsid w:val="00041480"/>
    <w:rsid w:val="00056332"/>
    <w:rsid w:val="000801FD"/>
    <w:rsid w:val="00085AB6"/>
    <w:rsid w:val="000973C8"/>
    <w:rsid w:val="000B001C"/>
    <w:rsid w:val="000B0A48"/>
    <w:rsid w:val="000C52F9"/>
    <w:rsid w:val="00102E41"/>
    <w:rsid w:val="00110ED8"/>
    <w:rsid w:val="00111BFC"/>
    <w:rsid w:val="0011222A"/>
    <w:rsid w:val="00121BBB"/>
    <w:rsid w:val="001235D1"/>
    <w:rsid w:val="00125868"/>
    <w:rsid w:val="0013011A"/>
    <w:rsid w:val="00152C39"/>
    <w:rsid w:val="001614F5"/>
    <w:rsid w:val="00162FAC"/>
    <w:rsid w:val="00166268"/>
    <w:rsid w:val="001D22A2"/>
    <w:rsid w:val="001F0BBC"/>
    <w:rsid w:val="001F14E0"/>
    <w:rsid w:val="001F4D87"/>
    <w:rsid w:val="001F550C"/>
    <w:rsid w:val="00210755"/>
    <w:rsid w:val="0022549D"/>
    <w:rsid w:val="00231BD0"/>
    <w:rsid w:val="00237611"/>
    <w:rsid w:val="002513ED"/>
    <w:rsid w:val="00261BE0"/>
    <w:rsid w:val="002620B2"/>
    <w:rsid w:val="00270B2C"/>
    <w:rsid w:val="00274DC5"/>
    <w:rsid w:val="00285C3A"/>
    <w:rsid w:val="002941AB"/>
    <w:rsid w:val="002A07C3"/>
    <w:rsid w:val="002A54E8"/>
    <w:rsid w:val="002B6D17"/>
    <w:rsid w:val="002C082A"/>
    <w:rsid w:val="002D0D46"/>
    <w:rsid w:val="002D0DD1"/>
    <w:rsid w:val="002D1CBB"/>
    <w:rsid w:val="002D3498"/>
    <w:rsid w:val="002D5B0F"/>
    <w:rsid w:val="002D5DAD"/>
    <w:rsid w:val="002F0111"/>
    <w:rsid w:val="002F2704"/>
    <w:rsid w:val="002F2706"/>
    <w:rsid w:val="00303F32"/>
    <w:rsid w:val="0031623C"/>
    <w:rsid w:val="003236AF"/>
    <w:rsid w:val="00327966"/>
    <w:rsid w:val="00332AE8"/>
    <w:rsid w:val="0033564C"/>
    <w:rsid w:val="003357C3"/>
    <w:rsid w:val="00336B2B"/>
    <w:rsid w:val="003609E7"/>
    <w:rsid w:val="003711FD"/>
    <w:rsid w:val="00374F7A"/>
    <w:rsid w:val="003763E7"/>
    <w:rsid w:val="00383D77"/>
    <w:rsid w:val="003B7322"/>
    <w:rsid w:val="003C20AE"/>
    <w:rsid w:val="003D3D55"/>
    <w:rsid w:val="003E2728"/>
    <w:rsid w:val="003F2727"/>
    <w:rsid w:val="003F6E8C"/>
    <w:rsid w:val="00410318"/>
    <w:rsid w:val="00432086"/>
    <w:rsid w:val="004436D8"/>
    <w:rsid w:val="00452BD8"/>
    <w:rsid w:val="004772B7"/>
    <w:rsid w:val="004976AA"/>
    <w:rsid w:val="004A0336"/>
    <w:rsid w:val="004A1E77"/>
    <w:rsid w:val="004D30EB"/>
    <w:rsid w:val="004D4883"/>
    <w:rsid w:val="004E6D47"/>
    <w:rsid w:val="0050352B"/>
    <w:rsid w:val="00514F6D"/>
    <w:rsid w:val="00531CF6"/>
    <w:rsid w:val="0054269B"/>
    <w:rsid w:val="00545EB7"/>
    <w:rsid w:val="00551FCC"/>
    <w:rsid w:val="00552EA0"/>
    <w:rsid w:val="005762C0"/>
    <w:rsid w:val="005812C8"/>
    <w:rsid w:val="0058372A"/>
    <w:rsid w:val="00587129"/>
    <w:rsid w:val="005900AD"/>
    <w:rsid w:val="005A1CAF"/>
    <w:rsid w:val="005C4208"/>
    <w:rsid w:val="005D47A4"/>
    <w:rsid w:val="005E7FF1"/>
    <w:rsid w:val="005F3D6E"/>
    <w:rsid w:val="00603A99"/>
    <w:rsid w:val="006046FD"/>
    <w:rsid w:val="00605AA4"/>
    <w:rsid w:val="00617E88"/>
    <w:rsid w:val="00620246"/>
    <w:rsid w:val="006235E5"/>
    <w:rsid w:val="00625BB1"/>
    <w:rsid w:val="0064425B"/>
    <w:rsid w:val="006446EA"/>
    <w:rsid w:val="00662112"/>
    <w:rsid w:val="00673B68"/>
    <w:rsid w:val="00675249"/>
    <w:rsid w:val="006B5A2C"/>
    <w:rsid w:val="006D7626"/>
    <w:rsid w:val="006E1391"/>
    <w:rsid w:val="006E4CC9"/>
    <w:rsid w:val="0071348E"/>
    <w:rsid w:val="00716E4A"/>
    <w:rsid w:val="00721C1A"/>
    <w:rsid w:val="00722291"/>
    <w:rsid w:val="00725FD9"/>
    <w:rsid w:val="007622BC"/>
    <w:rsid w:val="00792BEE"/>
    <w:rsid w:val="00794DCB"/>
    <w:rsid w:val="0079590B"/>
    <w:rsid w:val="007B02FE"/>
    <w:rsid w:val="007B0A2C"/>
    <w:rsid w:val="007B2F2E"/>
    <w:rsid w:val="007B72D1"/>
    <w:rsid w:val="007C0575"/>
    <w:rsid w:val="007D4289"/>
    <w:rsid w:val="007E08F5"/>
    <w:rsid w:val="007E6BFD"/>
    <w:rsid w:val="007F25F6"/>
    <w:rsid w:val="008248E0"/>
    <w:rsid w:val="00841223"/>
    <w:rsid w:val="008666EE"/>
    <w:rsid w:val="008724F9"/>
    <w:rsid w:val="00875F92"/>
    <w:rsid w:val="008A147A"/>
    <w:rsid w:val="008A1BBC"/>
    <w:rsid w:val="008A33C3"/>
    <w:rsid w:val="008D4195"/>
    <w:rsid w:val="008E1DBD"/>
    <w:rsid w:val="008E4F6E"/>
    <w:rsid w:val="008F0163"/>
    <w:rsid w:val="00901DD8"/>
    <w:rsid w:val="00912424"/>
    <w:rsid w:val="00915070"/>
    <w:rsid w:val="0092524E"/>
    <w:rsid w:val="009305D1"/>
    <w:rsid w:val="0093202D"/>
    <w:rsid w:val="00956124"/>
    <w:rsid w:val="00972C58"/>
    <w:rsid w:val="00976BA1"/>
    <w:rsid w:val="00981AB1"/>
    <w:rsid w:val="00983B71"/>
    <w:rsid w:val="00995EB9"/>
    <w:rsid w:val="009B4B1B"/>
    <w:rsid w:val="009D1E00"/>
    <w:rsid w:val="009E7A69"/>
    <w:rsid w:val="009F1B8E"/>
    <w:rsid w:val="00A21C20"/>
    <w:rsid w:val="00A24F58"/>
    <w:rsid w:val="00A30F69"/>
    <w:rsid w:val="00A34766"/>
    <w:rsid w:val="00A43064"/>
    <w:rsid w:val="00A70CFE"/>
    <w:rsid w:val="00A84C72"/>
    <w:rsid w:val="00A915DD"/>
    <w:rsid w:val="00AB1267"/>
    <w:rsid w:val="00AB226B"/>
    <w:rsid w:val="00AB408D"/>
    <w:rsid w:val="00AC1983"/>
    <w:rsid w:val="00AD2D78"/>
    <w:rsid w:val="00AD46EC"/>
    <w:rsid w:val="00AE0A40"/>
    <w:rsid w:val="00AE0C1A"/>
    <w:rsid w:val="00AE671C"/>
    <w:rsid w:val="00AF0B20"/>
    <w:rsid w:val="00B26025"/>
    <w:rsid w:val="00B37F87"/>
    <w:rsid w:val="00B46F08"/>
    <w:rsid w:val="00B5081F"/>
    <w:rsid w:val="00BA2E07"/>
    <w:rsid w:val="00BA7697"/>
    <w:rsid w:val="00BD0BA3"/>
    <w:rsid w:val="00BD58F2"/>
    <w:rsid w:val="00C0510B"/>
    <w:rsid w:val="00C354EF"/>
    <w:rsid w:val="00C4299D"/>
    <w:rsid w:val="00C44CFB"/>
    <w:rsid w:val="00C44EE5"/>
    <w:rsid w:val="00C508D3"/>
    <w:rsid w:val="00C63EF7"/>
    <w:rsid w:val="00C70E36"/>
    <w:rsid w:val="00C82711"/>
    <w:rsid w:val="00C94623"/>
    <w:rsid w:val="00CA1260"/>
    <w:rsid w:val="00CA2E74"/>
    <w:rsid w:val="00CB5069"/>
    <w:rsid w:val="00CC2D95"/>
    <w:rsid w:val="00CC3192"/>
    <w:rsid w:val="00CC3C1F"/>
    <w:rsid w:val="00CC452B"/>
    <w:rsid w:val="00CD234B"/>
    <w:rsid w:val="00CD54F5"/>
    <w:rsid w:val="00D009BE"/>
    <w:rsid w:val="00D03102"/>
    <w:rsid w:val="00D2428B"/>
    <w:rsid w:val="00D378E8"/>
    <w:rsid w:val="00D470EF"/>
    <w:rsid w:val="00D6253B"/>
    <w:rsid w:val="00D65C4D"/>
    <w:rsid w:val="00D80639"/>
    <w:rsid w:val="00D93735"/>
    <w:rsid w:val="00DA5684"/>
    <w:rsid w:val="00DA57C0"/>
    <w:rsid w:val="00DB016C"/>
    <w:rsid w:val="00DC1ED0"/>
    <w:rsid w:val="00DC64BE"/>
    <w:rsid w:val="00DC6B68"/>
    <w:rsid w:val="00DD0C89"/>
    <w:rsid w:val="00DE3FA5"/>
    <w:rsid w:val="00DF1B26"/>
    <w:rsid w:val="00DF67A1"/>
    <w:rsid w:val="00E03325"/>
    <w:rsid w:val="00E30041"/>
    <w:rsid w:val="00E347CD"/>
    <w:rsid w:val="00E36313"/>
    <w:rsid w:val="00E6496D"/>
    <w:rsid w:val="00E85991"/>
    <w:rsid w:val="00E92C5B"/>
    <w:rsid w:val="00EB69C2"/>
    <w:rsid w:val="00EC2F4E"/>
    <w:rsid w:val="00EC7D25"/>
    <w:rsid w:val="00F0226E"/>
    <w:rsid w:val="00F157EC"/>
    <w:rsid w:val="00F233A8"/>
    <w:rsid w:val="00F414E3"/>
    <w:rsid w:val="00F467CA"/>
    <w:rsid w:val="00F61FED"/>
    <w:rsid w:val="00F7778C"/>
    <w:rsid w:val="00F81CC4"/>
    <w:rsid w:val="00F91042"/>
    <w:rsid w:val="00F91EB9"/>
    <w:rsid w:val="00FA2070"/>
    <w:rsid w:val="00FA220E"/>
    <w:rsid w:val="00FB2DDB"/>
    <w:rsid w:val="00FB6066"/>
    <w:rsid w:val="00FD43FF"/>
    <w:rsid w:val="00FD59E6"/>
    <w:rsid w:val="00FD6FD0"/>
    <w:rsid w:val="00FE0663"/>
    <w:rsid w:val="00FE2BD4"/>
    <w:rsid w:val="00FF0839"/>
    <w:rsid w:val="00FF18EF"/>
    <w:rsid w:val="00FF2C6E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69508"/>
  <w15:docId w15:val="{122ECDB2-CC92-4831-A62F-CCFB467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0BA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0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B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F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C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C4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033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1C0DE14CB664DBE1AC0806BCC92B5" ma:contentTypeVersion="6" ma:contentTypeDescription="Create a new document." ma:contentTypeScope="" ma:versionID="871c80c08f9ebf396bfc93b36c49c753">
  <xsd:schema xmlns:xsd="http://www.w3.org/2001/XMLSchema" xmlns:xs="http://www.w3.org/2001/XMLSchema" xmlns:p="http://schemas.microsoft.com/office/2006/metadata/properties" xmlns:ns2="d1b8144e-2d4f-448a-8ca1-9358a23f60b9" xmlns:ns3="e9e646be-995d-4ec0-8856-aac39b7ed9c2" xmlns:ns4="7ee61e43-973a-4f51-951c-c61b5b85e63f" targetNamespace="http://schemas.microsoft.com/office/2006/metadata/properties" ma:root="true" ma:fieldsID="6d51fa08ec069ef050d83ea803cc0efd" ns2:_="" ns3:_="" ns4:_="">
    <xsd:import namespace="d1b8144e-2d4f-448a-8ca1-9358a23f60b9"/>
    <xsd:import namespace="e9e646be-995d-4ec0-8856-aac39b7ed9c2"/>
    <xsd:import namespace="7ee61e43-973a-4f51-951c-c61b5b85e6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6ee46-d96d-4581-b24c-c55fadd4c02d}" ma:internalName="TaxCatchAll" ma:showField="CatchAllData" ma:web="e9e646be-995d-4ec0-8856-aac39b7ed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6ee46-d96d-4581-b24c-c55fadd4c02d}" ma:internalName="TaxCatchAllLabel" ma:readOnly="true" ma:showField="CatchAllDataLabel" ma:web="e9e646be-995d-4ec0-8856-aac39b7ed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46be-995d-4ec0-8856-aac39b7e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61e43-973a-4f51-951c-c61b5b85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c6a9cbf-610b-4416-a0bc-2fefbcf90a02" ContentTypeId="0x0101" PreviousValue="false"/>
</file>

<file path=customXml/item4.xml><?xml version="1.0" encoding="utf-8"?>
<p:properties xmlns:p="http://schemas.microsoft.com/office/2006/metadata/properties" xmlns:xsi="http://www.w3.org/2001/XMLSchema-instance">
  <documentManagement>
    <TaxCatchAll xmlns="d1b8144e-2d4f-448a-8ca1-9358a23f60b9"/>
    <SharedWithUsers xmlns="e9e646be-995d-4ec0-8856-aac39b7ed9c2">
      <UserInfo>
        <DisplayName>Beck, Tracey (Legal &amp; Govt Affairs)</DisplayName>
        <AccountId>857</AccountId>
        <AccountType/>
      </UserInfo>
      <UserInfo>
        <DisplayName>Corty, Kelly (Consumer Foods)</DisplayName>
        <AccountId>19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F3DC-4A12-49B1-BF77-7CCF93250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01418-BC7F-43FE-B65D-F4BDB796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e9e646be-995d-4ec0-8856-aac39b7ed9c2"/>
    <ds:schemaRef ds:uri="7ee61e43-973a-4f51-951c-c61b5b85e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34888-692E-4E60-8BE2-811962A218F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35917F-C2AC-43A5-8340-EB07DAD579FC}">
  <ds:schemaRefs>
    <ds:schemaRef ds:uri="http://schemas.microsoft.com/office/2006/metadata/properties"/>
    <ds:schemaRef ds:uri="d1b8144e-2d4f-448a-8ca1-9358a23f60b9"/>
    <ds:schemaRef ds:uri="e9e646be-995d-4ec0-8856-aac39b7ed9c2"/>
  </ds:schemaRefs>
</ds:datastoreItem>
</file>

<file path=customXml/itemProps5.xml><?xml version="1.0" encoding="utf-8"?>
<ds:datastoreItem xmlns:ds="http://schemas.openxmlformats.org/officeDocument/2006/customXml" ds:itemID="{1AB4C895-544D-4878-AFBC-9D972D5B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ConAgra Foods Inc.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Castellano (ZJC0555 - MIGRA-R8XGM25)</dc:creator>
  <cp:lastModifiedBy>Sera Steffy</cp:lastModifiedBy>
  <cp:revision>2</cp:revision>
  <cp:lastPrinted>2014-01-25T00:22:00Z</cp:lastPrinted>
  <dcterms:created xsi:type="dcterms:W3CDTF">2017-04-21T14:15:00Z</dcterms:created>
  <dcterms:modified xsi:type="dcterms:W3CDTF">2017-04-21T14:15:00Z</dcterms:modified>
  <cp:contentStatus>Unrestricted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">
    <vt:lpwstr>Unrestricted</vt:lpwstr>
  </property>
  <property fmtid="{D5CDD505-2E9C-101B-9397-08002B2CF9AE}" pid="3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4" name="SGM_SYS_Data1">
    <vt:lpwstr>AAAAAAAAAAAAAAAAAAAAAAAAAAAAAAAAAAAA
AAAAAAAAAAAAAAAAAAAAAAAAAAAAAAAAAAAAAAAAAAAAAAAAAAAAAAAAAAAAAAAAAAAAAAAA
AAAAAAAAAAAAAA==</vt:lpwstr>
  </property>
  <property fmtid="{D5CDD505-2E9C-101B-9397-08002B2CF9AE}" pid="5" name="SGM_SYS_DataCount">
    <vt:i4>2</vt:i4>
  </property>
  <property fmtid="{D5CDD505-2E9C-101B-9397-08002B2CF9AE}" pid="6" name="SGM_SYS_DataOriginalSize">
    <vt:i4>264</vt:i4>
  </property>
  <property fmtid="{D5CDD505-2E9C-101B-9397-08002B2CF9AE}" pid="7" name="ContentTypeId">
    <vt:lpwstr>0x0101009D81C0DE14CB664DBE1AC0806BCC92B5</vt:lpwstr>
  </property>
</Properties>
</file>